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text" w:horzAnchor="margin" w:tblpX="-684" w:tblpY="-538"/>
        <w:tblW w:w="1138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44"/>
        <w:gridCol w:w="222"/>
        <w:gridCol w:w="222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3" w:hRule="atLeast"/>
        </w:trPr>
        <w:tc>
          <w:tcPr>
            <w:tcW w:w="10944" w:type="dxa"/>
          </w:tcPr>
          <w:tbl>
            <w:tblPr>
              <w:tblStyle w:val="4"/>
              <w:tblpPr w:leftFromText="180" w:rightFromText="180" w:vertAnchor="text" w:horzAnchor="margin" w:tblpX="-684" w:tblpY="-508"/>
              <w:tblOverlap w:val="never"/>
              <w:tblW w:w="10728" w:type="dxa"/>
              <w:tblInd w:w="0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4428"/>
              <w:gridCol w:w="1620"/>
              <w:gridCol w:w="4680"/>
            </w:tblGrid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844" w:hRule="atLeast"/>
              </w:trPr>
              <w:tc>
                <w:tcPr>
                  <w:tcW w:w="4428" w:type="dxa"/>
                </w:tcPr>
                <w:p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МИНИСТЕРСТВО</w:t>
                  </w:r>
                </w:p>
                <w:p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ОБРАЗОВАНИЯ  И НАУКИ</w:t>
                  </w:r>
                </w:p>
                <w:p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РЕСПУБЛИКИ ТАТАРСТАН</w:t>
                  </w:r>
                </w:p>
                <w:p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Государственное автономное</w:t>
                  </w:r>
                </w:p>
                <w:p>
                  <w:pPr>
                    <w:tabs>
                      <w:tab w:val="left" w:pos="72"/>
                    </w:tabs>
                    <w:ind w:left="-180"/>
                    <w:jc w:val="center"/>
                    <w:rPr>
                      <w:b/>
                      <w:sz w:val="20"/>
                      <w:szCs w:val="20"/>
                      <w:lang w:val="tt-RU"/>
                    </w:rPr>
                  </w:pPr>
                  <w:r>
                    <w:rPr>
                      <w:b/>
                      <w:sz w:val="20"/>
                      <w:szCs w:val="20"/>
                    </w:rPr>
                    <w:t>профессиональное образовательное  учреждение</w:t>
                  </w:r>
                </w:p>
                <w:p>
                  <w:pPr>
                    <w:tabs>
                      <w:tab w:val="left" w:pos="1540"/>
                    </w:tabs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« БАВЛИНСКИЙ АГРАРНЫЙ</w:t>
                  </w:r>
                </w:p>
                <w:p>
                  <w:pPr>
                    <w:tabs>
                      <w:tab w:val="left" w:pos="1540"/>
                    </w:tabs>
                    <w:jc w:val="center"/>
                    <w:rPr>
                      <w:b/>
                      <w:sz w:val="20"/>
                      <w:szCs w:val="20"/>
                      <w:lang w:val="tt-RU"/>
                    </w:rPr>
                  </w:pPr>
                  <w:r>
                    <w:rPr>
                      <w:b/>
                      <w:sz w:val="20"/>
                      <w:szCs w:val="20"/>
                    </w:rPr>
                    <w:t>КОЛЛЕДЖ»</w:t>
                  </w:r>
                </w:p>
              </w:tc>
              <w:tc>
                <w:tcPr>
                  <w:tcW w:w="1620" w:type="dxa"/>
                </w:tcPr>
                <w:p>
                  <w:pPr>
                    <w:tabs>
                      <w:tab w:val="left" w:pos="1540"/>
                    </w:tabs>
                    <w:rPr>
                      <w:b/>
                      <w:lang w:val="tt-RU"/>
                    </w:rPr>
                  </w:pPr>
                  <w:r>
                    <w:rPr>
                      <w:b/>
                    </w:rPr>
                    <w:drawing>
                      <wp:inline distT="0" distB="0" distL="0" distR="0">
                        <wp:extent cx="866775" cy="838200"/>
                        <wp:effectExtent l="0" t="0" r="9525" b="0"/>
                        <wp:docPr id="3" name="Рисунок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Рисунок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66775" cy="8382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680" w:type="dxa"/>
                </w:tcPr>
                <w:p>
                  <w:pPr>
                    <w:tabs>
                      <w:tab w:val="left" w:pos="1540"/>
                    </w:tabs>
                    <w:jc w:val="center"/>
                    <w:rPr>
                      <w:b/>
                      <w:sz w:val="20"/>
                      <w:szCs w:val="20"/>
                      <w:lang w:val="tt-RU"/>
                    </w:rPr>
                  </w:pPr>
                  <w:r>
                    <w:rPr>
                      <w:b/>
                      <w:sz w:val="20"/>
                      <w:szCs w:val="20"/>
                      <w:lang w:val="tt-RU"/>
                    </w:rPr>
                    <w:t>ТАТАРСТАН РЕСПУБЛИКАСЫ            МӘГАРИФ  ҺӘМ ФӘН</w:t>
                  </w:r>
                  <w:r>
                    <w:rPr>
                      <w:b/>
                      <w:sz w:val="20"/>
                      <w:szCs w:val="20"/>
                    </w:rPr>
                    <w:t xml:space="preserve"> </w:t>
                  </w:r>
                </w:p>
                <w:p>
                  <w:pPr>
                    <w:tabs>
                      <w:tab w:val="left" w:pos="1540"/>
                    </w:tabs>
                    <w:jc w:val="center"/>
                    <w:rPr>
                      <w:b/>
                      <w:sz w:val="20"/>
                      <w:szCs w:val="20"/>
                      <w:lang w:val="tt-RU"/>
                    </w:rPr>
                  </w:pPr>
                  <w:r>
                    <w:rPr>
                      <w:b/>
                      <w:sz w:val="20"/>
                      <w:szCs w:val="20"/>
                    </w:rPr>
                    <w:t>МИНИСТРЛЫГЫ</w:t>
                  </w:r>
                </w:p>
                <w:p>
                  <w:pPr>
                    <w:tabs>
                      <w:tab w:val="left" w:pos="1540"/>
                    </w:tabs>
                    <w:jc w:val="center"/>
                    <w:rPr>
                      <w:b/>
                      <w:sz w:val="20"/>
                      <w:szCs w:val="20"/>
                      <w:lang w:val="tt-RU"/>
                    </w:rPr>
                  </w:pPr>
                  <w:r>
                    <w:rPr>
                      <w:b/>
                      <w:sz w:val="20"/>
                      <w:szCs w:val="20"/>
                      <w:lang w:val="tt-RU"/>
                    </w:rPr>
                    <w:t xml:space="preserve">Дәүләт автоном һөнәри </w:t>
                  </w:r>
                </w:p>
                <w:p>
                  <w:pPr>
                    <w:tabs>
                      <w:tab w:val="left" w:pos="1540"/>
                    </w:tabs>
                    <w:jc w:val="center"/>
                    <w:rPr>
                      <w:b/>
                      <w:sz w:val="20"/>
                      <w:szCs w:val="20"/>
                      <w:lang w:val="tt-RU"/>
                    </w:rPr>
                  </w:pPr>
                  <w:r>
                    <w:rPr>
                      <w:b/>
                      <w:sz w:val="20"/>
                      <w:szCs w:val="20"/>
                      <w:lang w:val="tt-RU"/>
                    </w:rPr>
                    <w:t>белем учреҗдениесе</w:t>
                  </w:r>
                </w:p>
                <w:p>
                  <w:pPr>
                    <w:tabs>
                      <w:tab w:val="left" w:pos="1540"/>
                    </w:tabs>
                    <w:jc w:val="center"/>
                    <w:rPr>
                      <w:b/>
                      <w:sz w:val="20"/>
                      <w:szCs w:val="20"/>
                      <w:lang w:val="tt-RU"/>
                    </w:rPr>
                  </w:pPr>
                  <w:r>
                    <w:rPr>
                      <w:b/>
                      <w:sz w:val="20"/>
                      <w:szCs w:val="20"/>
                      <w:lang w:val="tt-RU"/>
                    </w:rPr>
                    <w:t>“БАУЛЫ АГРАР КӨЛЛИЯТЕ”</w:t>
                  </w:r>
                </w:p>
                <w:p>
                  <w:pPr>
                    <w:tabs>
                      <w:tab w:val="left" w:pos="1540"/>
                    </w:tabs>
                    <w:rPr>
                      <w:b/>
                      <w:sz w:val="20"/>
                      <w:szCs w:val="20"/>
                      <w:lang w:val="tt-RU"/>
                    </w:rPr>
                  </w:pPr>
                  <w:r>
                    <w:rPr>
                      <w:b/>
                      <w:sz w:val="20"/>
                      <w:szCs w:val="20"/>
                      <w:lang w:val="tt-RU"/>
                    </w:rPr>
                    <w:t xml:space="preserve"> </w:t>
                  </w:r>
                </w:p>
                <w:p>
                  <w:pPr>
                    <w:tabs>
                      <w:tab w:val="left" w:pos="1540"/>
                    </w:tabs>
                    <w:rPr>
                      <w:b/>
                      <w:sz w:val="20"/>
                      <w:szCs w:val="20"/>
                      <w:lang w:val="tt-RU"/>
                    </w:rPr>
                  </w:pPr>
                  <w:r>
                    <w:rPr>
                      <w:b/>
                      <w:sz w:val="20"/>
                      <w:szCs w:val="20"/>
                      <w:lang w:val="tt-RU"/>
                    </w:rPr>
                    <w:t xml:space="preserve">                   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26" w:hRule="atLeast"/>
              </w:trPr>
              <w:tc>
                <w:tcPr>
                  <w:tcW w:w="4428" w:type="dxa"/>
                </w:tcPr>
                <w:p>
                  <w:pPr>
                    <w:tabs>
                      <w:tab w:val="left" w:pos="1540"/>
                    </w:tabs>
                    <w:rPr>
                      <w:b/>
                      <w:sz w:val="20"/>
                      <w:szCs w:val="20"/>
                      <w:lang w:val="tt-RU"/>
                    </w:rPr>
                  </w:pPr>
                  <w:r>
                    <w:rPr>
                      <w:b/>
                      <w:sz w:val="20"/>
                      <w:szCs w:val="20"/>
                    </w:rPr>
                    <w:t xml:space="preserve">   Куйбышева ул.,  д. 36</w:t>
                  </w:r>
                  <w:r>
                    <w:rPr>
                      <w:b/>
                      <w:sz w:val="20"/>
                      <w:szCs w:val="20"/>
                      <w:lang w:val="tt-RU"/>
                    </w:rPr>
                    <w:t>, г.Бавлы, 423930</w:t>
                  </w:r>
                </w:p>
                <w:p>
                  <w:pPr>
                    <w:jc w:val="center"/>
                    <w:rPr>
                      <w:b/>
                      <w:sz w:val="20"/>
                      <w:szCs w:val="20"/>
                      <w:lang w:val="tt-RU"/>
                    </w:rPr>
                  </w:pPr>
                </w:p>
              </w:tc>
              <w:tc>
                <w:tcPr>
                  <w:tcW w:w="1620" w:type="dxa"/>
                </w:tcPr>
                <w:p>
                  <w:pPr>
                    <w:tabs>
                      <w:tab w:val="left" w:pos="1540"/>
                    </w:tabs>
                    <w:rPr>
                      <w:b/>
                      <w:lang w:val="tt-RU"/>
                    </w:rPr>
                  </w:pPr>
                </w:p>
              </w:tc>
              <w:tc>
                <w:tcPr>
                  <w:tcW w:w="4680" w:type="dxa"/>
                </w:tcPr>
                <w:p>
                  <w:pPr>
                    <w:tabs>
                      <w:tab w:val="left" w:pos="1540"/>
                    </w:tabs>
                    <w:rPr>
                      <w:b/>
                      <w:sz w:val="16"/>
                      <w:szCs w:val="16"/>
                      <w:lang w:val="tt-RU"/>
                    </w:rPr>
                  </w:pPr>
                  <w:r>
                    <w:rPr>
                      <w:b/>
                      <w:sz w:val="20"/>
                      <w:szCs w:val="20"/>
                      <w:lang w:val="tt-RU"/>
                    </w:rPr>
                    <w:t>Куйбышев ур., 36 йорт, Баулы шәһәре, 423930</w:t>
                  </w:r>
                </w:p>
                <w:p>
                  <w:pPr>
                    <w:tabs>
                      <w:tab w:val="left" w:pos="1540"/>
                    </w:tabs>
                    <w:jc w:val="center"/>
                    <w:rPr>
                      <w:b/>
                      <w:sz w:val="16"/>
                      <w:szCs w:val="16"/>
                      <w:lang w:val="tt-RU"/>
                    </w:rPr>
                  </w:pPr>
                </w:p>
              </w:tc>
            </w:tr>
          </w:tbl>
          <w:p>
            <w:pPr>
              <w:tabs>
                <w:tab w:val="left" w:pos="1540"/>
              </w:tabs>
              <w:rPr>
                <w:lang w:val="tt-RU"/>
              </w:rPr>
            </w:pPr>
          </w:p>
        </w:tc>
        <w:tc>
          <w:tcPr>
            <w:tcW w:w="222" w:type="dxa"/>
          </w:tcPr>
          <w:p>
            <w:pPr>
              <w:tabs>
                <w:tab w:val="left" w:pos="1540"/>
              </w:tabs>
              <w:rPr>
                <w:lang w:val="tt-RU"/>
              </w:rPr>
            </w:pPr>
          </w:p>
        </w:tc>
        <w:tc>
          <w:tcPr>
            <w:tcW w:w="222" w:type="dxa"/>
          </w:tcPr>
          <w:p>
            <w:pPr>
              <w:tabs>
                <w:tab w:val="left" w:pos="1540"/>
              </w:tabs>
              <w:jc w:val="center"/>
              <w:rPr>
                <w:sz w:val="20"/>
                <w:szCs w:val="20"/>
                <w:lang w:val="tt-RU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" w:hRule="atLeast"/>
        </w:trPr>
        <w:tc>
          <w:tcPr>
            <w:tcW w:w="10944" w:type="dxa"/>
          </w:tcPr>
          <w:p>
            <w:pPr>
              <w:tabs>
                <w:tab w:val="left" w:pos="900"/>
              </w:tabs>
              <w:rPr>
                <w:lang w:val="tt-RU"/>
              </w:rPr>
            </w:pPr>
            <w:r>
              <w:rPr>
                <w:lang w:val="tt-RU"/>
              </w:rPr>
              <w:tab/>
            </w:r>
          </w:p>
        </w:tc>
        <w:tc>
          <w:tcPr>
            <w:tcW w:w="222" w:type="dxa"/>
          </w:tcPr>
          <w:p>
            <w:pPr>
              <w:tabs>
                <w:tab w:val="left" w:pos="1540"/>
              </w:tabs>
              <w:rPr>
                <w:lang w:val="tt-RU"/>
              </w:rPr>
            </w:pPr>
          </w:p>
        </w:tc>
        <w:tc>
          <w:tcPr>
            <w:tcW w:w="222" w:type="dxa"/>
          </w:tcPr>
          <w:p>
            <w:pPr>
              <w:tabs>
                <w:tab w:val="left" w:pos="1540"/>
              </w:tabs>
              <w:jc w:val="center"/>
              <w:rPr>
                <w:sz w:val="16"/>
                <w:szCs w:val="16"/>
                <w:lang w:val="tt-RU"/>
              </w:rPr>
            </w:pPr>
          </w:p>
        </w:tc>
      </w:tr>
    </w:tbl>
    <w:p>
      <w:pPr>
        <w:tabs>
          <w:tab w:val="left" w:pos="1540"/>
        </w:tabs>
        <w:rPr>
          <w:sz w:val="20"/>
          <w:szCs w:val="20"/>
          <w:lang w:val="tt-RU"/>
        </w:rPr>
      </w:pPr>
      <w:r>
        <w:rPr>
          <w:b/>
          <w:sz w:val="20"/>
          <w:szCs w:val="20"/>
          <w:u w:val="single"/>
          <w:lang w:val="tt-RU"/>
        </w:rPr>
        <w:t xml:space="preserve">   Тел.: (85569) 5-64-61, факс: 5-64-61,  e-mail: </w:t>
      </w:r>
      <w:r>
        <w:fldChar w:fldCharType="begin"/>
      </w:r>
      <w:r>
        <w:rPr>
          <w:lang w:val="tt-RU"/>
        </w:rPr>
        <w:instrText xml:space="preserve"> HYPERLINK "mailto:pl82@bk.ru" </w:instrText>
      </w:r>
      <w:r>
        <w:fldChar w:fldCharType="separate"/>
      </w:r>
      <w:r>
        <w:rPr>
          <w:rStyle w:val="3"/>
          <w:b/>
          <w:sz w:val="20"/>
          <w:szCs w:val="20"/>
          <w:lang w:val="tt-RU"/>
        </w:rPr>
        <w:t>pl82@bk.ru</w:t>
      </w:r>
      <w:r>
        <w:rPr>
          <w:rStyle w:val="3"/>
          <w:b/>
          <w:sz w:val="20"/>
          <w:szCs w:val="20"/>
          <w:lang w:val="tt-RU"/>
        </w:rPr>
        <w:fldChar w:fldCharType="end"/>
      </w:r>
      <w:r>
        <w:rPr>
          <w:b/>
          <w:sz w:val="20"/>
          <w:szCs w:val="20"/>
          <w:u w:val="single"/>
          <w:lang w:val="tt-RU"/>
        </w:rPr>
        <w:t xml:space="preserve">, сайт: </w:t>
      </w:r>
      <w:r>
        <w:fldChar w:fldCharType="begin"/>
      </w:r>
      <w:r>
        <w:rPr>
          <w:lang w:val="tt-RU"/>
        </w:rPr>
        <w:instrText xml:space="preserve"> HYPERLINK "https://edu.tatar.ru/bauly/org6186" </w:instrText>
      </w:r>
      <w:r>
        <w:fldChar w:fldCharType="separate"/>
      </w:r>
      <w:r>
        <w:rPr>
          <w:rStyle w:val="3"/>
          <w:b/>
          <w:sz w:val="20"/>
          <w:szCs w:val="20"/>
          <w:lang w:val="tt-RU"/>
        </w:rPr>
        <w:t>https://edu.tatar.ru/bauly/org6186</w:t>
      </w:r>
      <w:r>
        <w:rPr>
          <w:rStyle w:val="3"/>
          <w:b/>
          <w:sz w:val="20"/>
          <w:szCs w:val="20"/>
          <w:lang w:val="tt-RU"/>
        </w:rPr>
        <w:fldChar w:fldCharType="end"/>
      </w:r>
    </w:p>
    <w:p>
      <w:pPr>
        <w:tabs>
          <w:tab w:val="left" w:pos="1540"/>
        </w:tabs>
        <w:ind w:hanging="360"/>
        <w:rPr>
          <w:lang w:val="tt-RU"/>
        </w:rPr>
      </w:pPr>
      <w:r>
        <w:rPr>
          <w:lang w:val="tt-RU"/>
        </w:rPr>
        <w:t xml:space="preserve"> </w:t>
      </w:r>
    </w:p>
    <w:p>
      <w:pPr>
        <w:tabs>
          <w:tab w:val="left" w:pos="1540"/>
        </w:tabs>
        <w:ind w:hanging="360"/>
        <w:rPr>
          <w:lang w:val="ru-RU"/>
        </w:rPr>
      </w:pPr>
      <w:r>
        <w:rPr>
          <w:lang w:val="tt-RU"/>
        </w:rPr>
        <w:t xml:space="preserve">      </w:t>
      </w:r>
      <w:r>
        <w:rPr>
          <w:lang w:val="ru-RU"/>
        </w:rPr>
        <w:t>10</w:t>
      </w:r>
      <w:r>
        <w:rPr>
          <w:lang w:val="tt-RU"/>
        </w:rPr>
        <w:t>.</w:t>
      </w:r>
      <w:r>
        <w:rPr>
          <w:lang w:val="ru-RU"/>
        </w:rPr>
        <w:t>12</w:t>
      </w:r>
      <w:r>
        <w:rPr>
          <w:lang w:val="tt-RU"/>
        </w:rPr>
        <w:t xml:space="preserve">.2020 г. №  </w:t>
      </w:r>
      <w:r>
        <w:rPr>
          <w:lang w:val="ru-RU"/>
        </w:rPr>
        <w:t>250</w:t>
      </w:r>
    </w:p>
    <w:p>
      <w:pPr>
        <w:wordWrap/>
        <w:ind w:firstLine="700" w:firstLineChars="0"/>
        <w:jc w:val="right"/>
        <w:rPr>
          <w:rFonts w:hint="default"/>
          <w:color w:val="auto"/>
          <w:sz w:val="28"/>
          <w:szCs w:val="28"/>
          <w:shd w:val="clear" w:color="auto" w:fill="auto"/>
          <w:lang w:val="ru-RU"/>
        </w:rPr>
      </w:pPr>
    </w:p>
    <w:p>
      <w:pPr>
        <w:wordWrap w:val="0"/>
        <w:ind w:firstLine="700" w:firstLineChars="0"/>
        <w:jc w:val="right"/>
        <w:rPr>
          <w:rFonts w:hint="default"/>
          <w:color w:val="auto"/>
          <w:sz w:val="28"/>
          <w:szCs w:val="28"/>
          <w:shd w:val="clear" w:color="auto" w:fill="auto"/>
          <w:lang w:val="ru-RU"/>
        </w:rPr>
      </w:pPr>
      <w:r>
        <w:rPr>
          <w:rFonts w:hint="default"/>
          <w:color w:val="auto"/>
          <w:sz w:val="28"/>
          <w:szCs w:val="28"/>
          <w:shd w:val="clear" w:color="auto" w:fill="auto"/>
          <w:lang w:val="ru-RU"/>
        </w:rPr>
        <w:t>Первому заместителю министра</w:t>
      </w:r>
    </w:p>
    <w:p>
      <w:pPr>
        <w:wordWrap w:val="0"/>
        <w:ind w:firstLine="700" w:firstLineChars="0"/>
        <w:jc w:val="right"/>
        <w:rPr>
          <w:rFonts w:hint="default"/>
          <w:color w:val="auto"/>
          <w:sz w:val="28"/>
          <w:szCs w:val="28"/>
          <w:shd w:val="clear" w:color="auto" w:fill="auto"/>
          <w:lang w:val="ru-RU"/>
        </w:rPr>
      </w:pPr>
      <w:r>
        <w:rPr>
          <w:rFonts w:hint="default"/>
          <w:color w:val="auto"/>
          <w:sz w:val="28"/>
          <w:szCs w:val="28"/>
          <w:shd w:val="clear" w:color="auto" w:fill="auto"/>
          <w:lang w:val="ru-RU"/>
        </w:rPr>
        <w:t>образования и науки</w:t>
      </w:r>
    </w:p>
    <w:p>
      <w:pPr>
        <w:wordWrap w:val="0"/>
        <w:ind w:firstLine="700" w:firstLineChars="0"/>
        <w:jc w:val="right"/>
        <w:rPr>
          <w:rFonts w:hint="default"/>
          <w:color w:val="auto"/>
          <w:sz w:val="28"/>
          <w:szCs w:val="28"/>
          <w:shd w:val="clear" w:color="auto" w:fill="auto"/>
          <w:lang w:val="ru-RU"/>
        </w:rPr>
      </w:pPr>
      <w:r>
        <w:rPr>
          <w:rFonts w:hint="default"/>
          <w:color w:val="auto"/>
          <w:sz w:val="28"/>
          <w:szCs w:val="28"/>
          <w:shd w:val="clear" w:color="auto" w:fill="auto"/>
          <w:lang w:val="ru-RU"/>
        </w:rPr>
        <w:t>Республики Татарстан</w:t>
      </w:r>
    </w:p>
    <w:p>
      <w:pPr>
        <w:wordWrap w:val="0"/>
        <w:ind w:firstLine="700" w:firstLineChars="0"/>
        <w:jc w:val="right"/>
        <w:rPr>
          <w:rFonts w:hint="default"/>
          <w:color w:val="auto"/>
          <w:sz w:val="28"/>
          <w:szCs w:val="28"/>
          <w:shd w:val="clear" w:color="auto" w:fill="auto"/>
          <w:lang w:val="ru-RU"/>
        </w:rPr>
      </w:pPr>
      <w:r>
        <w:rPr>
          <w:rFonts w:hint="default"/>
          <w:color w:val="auto"/>
          <w:sz w:val="28"/>
          <w:szCs w:val="28"/>
          <w:shd w:val="clear" w:color="auto" w:fill="auto"/>
          <w:lang w:val="ru-RU"/>
        </w:rPr>
        <w:t>Поминову А.И.</w:t>
      </w:r>
    </w:p>
    <w:p>
      <w:pPr>
        <w:wordWrap/>
        <w:ind w:firstLine="700" w:firstLineChars="0"/>
        <w:jc w:val="center"/>
        <w:rPr>
          <w:rFonts w:hint="default"/>
          <w:color w:val="auto"/>
          <w:sz w:val="28"/>
          <w:szCs w:val="28"/>
          <w:shd w:val="clear" w:color="auto" w:fill="auto"/>
          <w:lang w:val="ru-RU"/>
        </w:rPr>
      </w:pPr>
    </w:p>
    <w:p>
      <w:pPr>
        <w:wordWrap/>
        <w:ind w:firstLine="700" w:firstLineChars="0"/>
        <w:jc w:val="center"/>
        <w:rPr>
          <w:rFonts w:hint="default"/>
          <w:color w:val="auto"/>
          <w:sz w:val="28"/>
          <w:szCs w:val="28"/>
          <w:shd w:val="clear" w:color="auto" w:fill="auto"/>
          <w:lang w:val="ru-RU"/>
        </w:rPr>
      </w:pPr>
    </w:p>
    <w:p>
      <w:pPr>
        <w:wordWrap/>
        <w:ind w:firstLine="700" w:firstLineChars="0"/>
        <w:jc w:val="center"/>
        <w:rPr>
          <w:rFonts w:hint="default"/>
          <w:color w:val="auto"/>
          <w:sz w:val="28"/>
          <w:szCs w:val="28"/>
          <w:shd w:val="clear" w:color="auto" w:fill="auto"/>
          <w:lang w:val="ru-RU"/>
        </w:rPr>
      </w:pPr>
      <w:r>
        <w:rPr>
          <w:rFonts w:hint="default"/>
          <w:color w:val="auto"/>
          <w:sz w:val="28"/>
          <w:szCs w:val="28"/>
          <w:shd w:val="clear" w:color="auto" w:fill="auto"/>
          <w:lang w:val="ru-RU"/>
        </w:rPr>
        <w:t>Объяснительная</w:t>
      </w:r>
    </w:p>
    <w:p>
      <w:pPr>
        <w:wordWrap/>
        <w:ind w:firstLine="700" w:firstLineChars="0"/>
        <w:jc w:val="center"/>
        <w:rPr>
          <w:rFonts w:hint="default"/>
          <w:color w:val="auto"/>
          <w:sz w:val="28"/>
          <w:szCs w:val="28"/>
          <w:shd w:val="clear" w:color="auto" w:fill="auto"/>
          <w:lang w:val="ru-RU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709" w:firstLineChars="0"/>
        <w:jc w:val="both"/>
        <w:textAlignment w:val="auto"/>
        <w:outlineLvl w:val="9"/>
        <w:rPr>
          <w:rFonts w:hint="default"/>
          <w:color w:val="auto"/>
          <w:sz w:val="28"/>
          <w:szCs w:val="28"/>
          <w:shd w:val="clear" w:color="auto" w:fill="auto"/>
          <w:lang w:val="ru-RU"/>
        </w:rPr>
      </w:pPr>
      <w:r>
        <w:rPr>
          <w:rFonts w:hint="default"/>
          <w:color w:val="auto"/>
          <w:sz w:val="28"/>
          <w:szCs w:val="28"/>
          <w:shd w:val="clear" w:color="auto" w:fill="auto"/>
          <w:lang w:val="ru-RU"/>
        </w:rPr>
        <w:t>В связи с недобором обучающихся на 2019 -2020 учебный год в группу по профессии «Тракторист - машинист сельскохозяйственного производства», по решению заседания педагогического Совета колледжа, группа была расформирована и обучающиеся по их согласию переведены на другие профессии. В отчетах по фактическому контингенту это количественно не отразилось. Но в плановом контингенте по прогнозу это не было учтено.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709" w:firstLineChars="0"/>
        <w:jc w:val="both"/>
        <w:textAlignment w:val="auto"/>
        <w:outlineLvl w:val="9"/>
        <w:rPr>
          <w:rFonts w:hint="default"/>
          <w:color w:val="auto"/>
          <w:sz w:val="28"/>
          <w:szCs w:val="28"/>
          <w:shd w:val="clear" w:color="auto" w:fill="auto"/>
          <w:lang w:val="ru-RU"/>
        </w:rPr>
      </w:pPr>
      <w:r>
        <w:rPr>
          <w:rFonts w:hint="default"/>
          <w:color w:val="auto"/>
          <w:sz w:val="28"/>
          <w:szCs w:val="28"/>
          <w:shd w:val="clear" w:color="auto" w:fill="auto"/>
          <w:lang w:val="ru-RU"/>
        </w:rPr>
        <w:t>Что касается группы по основным программам профессионального обучения программам профессиональной подготовки по профессиям  рабочих для лиц с ограниченными возможностями здоровья на 2017-2018 год, то мы планировали обучать из по профессии «Мастер строительных отделочных работ» со сроком обучения 1 год 10 месяцев. Но в итоге, они обучались по профессии «Маляр»  10 месяцев и были выпущены. Обучающиеся в количестве 20 человек фактически в отчетах  по контингенту отсутствовали, но в прогнозе присутствуют.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709" w:firstLineChars="0"/>
        <w:jc w:val="both"/>
        <w:textAlignment w:val="auto"/>
        <w:outlineLvl w:val="9"/>
        <w:rPr>
          <w:rFonts w:hint="default"/>
          <w:color w:val="auto"/>
          <w:sz w:val="28"/>
          <w:szCs w:val="28"/>
          <w:shd w:val="clear" w:color="auto" w:fill="auto"/>
          <w:lang w:val="ru-RU"/>
        </w:rPr>
      </w:pPr>
      <w:bookmarkStart w:id="0" w:name="_GoBack"/>
      <w:bookmarkEnd w:id="0"/>
    </w:p>
    <w:p>
      <w:pPr>
        <w:spacing w:line="360" w:lineRule="auto"/>
        <w:ind w:firstLine="700" w:firstLineChars="0"/>
        <w:jc w:val="both"/>
        <w:rPr>
          <w:rFonts w:hint="default"/>
          <w:color w:val="auto"/>
          <w:sz w:val="28"/>
          <w:szCs w:val="28"/>
          <w:shd w:val="clear" w:color="auto" w:fill="auto"/>
          <w:lang w:val="ru-RU"/>
        </w:rPr>
      </w:pPr>
    </w:p>
    <w:p>
      <w:pPr>
        <w:ind w:firstLine="1820" w:firstLineChars="650"/>
        <w:rPr>
          <w:sz w:val="28"/>
          <w:szCs w:val="28"/>
        </w:rPr>
      </w:pPr>
      <w:r>
        <w:rPr>
          <w:color w:val="auto"/>
          <w:sz w:val="28"/>
          <w:szCs w:val="28"/>
          <w:shd w:val="clear" w:color="auto" w:fill="auto"/>
        </w:rPr>
        <w:t xml:space="preserve">                Директор  </w:t>
      </w:r>
      <w:r>
        <w:rPr>
          <w:color w:val="auto"/>
          <w:sz w:val="28"/>
          <w:szCs w:val="28"/>
          <w:shd w:val="clear" w:color="auto" w:fill="auto"/>
          <w:lang w:val="ru-RU"/>
        </w:rPr>
        <w:t xml:space="preserve">           </w:t>
      </w:r>
      <w:r>
        <w:rPr>
          <w:color w:val="auto"/>
          <w:sz w:val="28"/>
          <w:szCs w:val="28"/>
          <w:shd w:val="clear" w:color="auto" w:fill="auto"/>
        </w:rPr>
        <w:t xml:space="preserve">         В.</w:t>
      </w:r>
      <w:r>
        <w:rPr>
          <w:color w:val="auto"/>
          <w:sz w:val="28"/>
          <w:szCs w:val="28"/>
          <w:shd w:val="clear" w:color="auto" w:fill="auto"/>
          <w:lang w:val="ru-RU"/>
        </w:rPr>
        <w:t xml:space="preserve"> </w:t>
      </w:r>
      <w:r>
        <w:rPr>
          <w:color w:val="auto"/>
          <w:sz w:val="28"/>
          <w:szCs w:val="28"/>
          <w:shd w:val="clear" w:color="auto" w:fill="auto"/>
        </w:rPr>
        <w:t>Л.</w:t>
      </w:r>
      <w:r>
        <w:rPr>
          <w:color w:val="auto"/>
          <w:sz w:val="28"/>
          <w:szCs w:val="28"/>
          <w:shd w:val="clear" w:color="auto" w:fill="auto"/>
          <w:lang w:val="ru-RU"/>
        </w:rPr>
        <w:t xml:space="preserve"> </w:t>
      </w:r>
      <w:r>
        <w:rPr>
          <w:color w:val="auto"/>
          <w:sz w:val="28"/>
          <w:szCs w:val="28"/>
          <w:shd w:val="clear" w:color="auto" w:fill="auto"/>
        </w:rPr>
        <w:t xml:space="preserve">Шафиков               </w:t>
      </w:r>
      <w:r>
        <w:rPr>
          <w:sz w:val="28"/>
          <w:szCs w:val="28"/>
        </w:rPr>
        <w:t xml:space="preserve">                        </w:t>
      </w:r>
    </w:p>
    <w:p/>
    <w:sectPr>
      <w:pgSz w:w="11906" w:h="16838"/>
      <w:pgMar w:top="1134" w:right="850" w:bottom="1134" w:left="1134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libri">
    <w:panose1 w:val="020F0502020204030204"/>
    <w:charset w:val="86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2780AB5"/>
    <w:rsid w:val="02780AB5"/>
    <w:rsid w:val="1275282E"/>
    <w:rsid w:val="26A854D8"/>
    <w:rsid w:val="339000AA"/>
    <w:rsid w:val="36C03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Calibri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Hyperlink"/>
    <w:unhideWhenUsed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emf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58</TotalTime>
  <ScaleCrop>false</ScaleCrop>
  <LinksUpToDate>false</LinksUpToDate>
  <CharactersWithSpaces>0</CharactersWithSpaces>
  <Application>WPS Office_10.2.0.7646_F1E327BC-269C-435d-A152-05C5408002CA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2020-04-30T04:42:00Z</dcterms:created>
  <dc:creator>Татьяна</dc:creator>
  <cp:lastModifiedBy>Татьяна</cp:lastModifiedBy>
  <cp:lastPrinted>2020-12-10T12:01:22Z</cp:lastPrinted>
  <dcterms:modified xsi:type="dcterms:W3CDTF">2020-12-10T12:04:43Z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1049-10.2.0.7646</vt:lpwstr>
  </property>
</Properties>
</file>